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C5C0" w14:textId="77777777" w:rsidR="00517823" w:rsidRPr="00D640A1" w:rsidRDefault="00517823" w:rsidP="00517823">
      <w:pPr>
        <w:tabs>
          <w:tab w:val="left" w:pos="3465"/>
        </w:tabs>
        <w:spacing w:after="0" w:line="240" w:lineRule="auto"/>
        <w:jc w:val="both"/>
        <w:rPr>
          <w:b/>
          <w:color w:val="FF0000"/>
          <w:sz w:val="24"/>
          <w:szCs w:val="24"/>
          <w:u w:val="single"/>
          <w:lang w:val="fr-FR"/>
        </w:rPr>
      </w:pPr>
    </w:p>
    <w:tbl>
      <w:tblPr>
        <w:tblStyle w:val="Grilledutableau"/>
        <w:tblW w:w="0" w:type="auto"/>
        <w:tblLook w:val="04A0" w:firstRow="1" w:lastRow="0" w:firstColumn="1" w:lastColumn="0" w:noHBand="0" w:noVBand="1"/>
      </w:tblPr>
      <w:tblGrid>
        <w:gridCol w:w="10456"/>
      </w:tblGrid>
      <w:tr w:rsidR="00517823" w14:paraId="72B393A3" w14:textId="77777777" w:rsidTr="00116723">
        <w:tc>
          <w:tcPr>
            <w:tcW w:w="10456" w:type="dxa"/>
          </w:tcPr>
          <w:p w14:paraId="3FF2395B" w14:textId="77777777" w:rsidR="00517823" w:rsidRPr="008E15AA" w:rsidRDefault="00517823" w:rsidP="00116723">
            <w:pPr>
              <w:tabs>
                <w:tab w:val="left" w:pos="3465"/>
              </w:tabs>
              <w:jc w:val="center"/>
              <w:rPr>
                <w:b/>
                <w:sz w:val="28"/>
                <w:szCs w:val="28"/>
                <w:lang w:val="fr-FR"/>
              </w:rPr>
            </w:pPr>
            <w:r w:rsidRPr="008E15AA">
              <w:rPr>
                <w:b/>
                <w:sz w:val="28"/>
                <w:szCs w:val="28"/>
                <w:lang w:val="fr-FR"/>
              </w:rPr>
              <w:t>LES SANS-CULOTTES</w:t>
            </w:r>
          </w:p>
          <w:p w14:paraId="4A8F3365" w14:textId="77777777" w:rsidR="00517823" w:rsidRPr="004C0F4E" w:rsidRDefault="00517823" w:rsidP="00116723">
            <w:pPr>
              <w:tabs>
                <w:tab w:val="left" w:pos="3465"/>
              </w:tabs>
              <w:jc w:val="center"/>
              <w:rPr>
                <w:b/>
                <w:i/>
                <w:sz w:val="24"/>
                <w:szCs w:val="24"/>
                <w:lang w:val="fr-FR"/>
              </w:rPr>
            </w:pPr>
            <w:r>
              <w:rPr>
                <w:b/>
                <w:i/>
                <w:sz w:val="24"/>
                <w:szCs w:val="24"/>
                <w:lang w:val="fr-FR"/>
              </w:rPr>
              <w:t xml:space="preserve">Représentation des sans-culottes par </w:t>
            </w:r>
            <w:r w:rsidRPr="004C0F4E">
              <w:rPr>
                <w:b/>
                <w:i/>
                <w:sz w:val="24"/>
                <w:szCs w:val="24"/>
                <w:lang w:val="fr-FR"/>
              </w:rPr>
              <w:t xml:space="preserve">James </w:t>
            </w:r>
            <w:proofErr w:type="spellStart"/>
            <w:r w:rsidRPr="004C0F4E">
              <w:rPr>
                <w:b/>
                <w:i/>
                <w:sz w:val="24"/>
                <w:szCs w:val="24"/>
                <w:lang w:val="fr-FR"/>
              </w:rPr>
              <w:t>Gillray</w:t>
            </w:r>
            <w:proofErr w:type="spellEnd"/>
            <w:r w:rsidRPr="004C0F4E">
              <w:rPr>
                <w:b/>
                <w:i/>
                <w:sz w:val="24"/>
                <w:szCs w:val="24"/>
                <w:lang w:val="fr-FR"/>
              </w:rPr>
              <w:t xml:space="preserve">, </w:t>
            </w:r>
            <w:r>
              <w:rPr>
                <w:b/>
                <w:i/>
                <w:sz w:val="24"/>
                <w:szCs w:val="24"/>
                <w:lang w:val="fr-FR"/>
              </w:rPr>
              <w:t>stéréotype ou réali</w:t>
            </w:r>
            <w:r w:rsidRPr="004C0F4E">
              <w:rPr>
                <w:b/>
                <w:i/>
                <w:sz w:val="24"/>
                <w:szCs w:val="24"/>
                <w:lang w:val="fr-FR"/>
              </w:rPr>
              <w:t>té ?</w:t>
            </w:r>
          </w:p>
        </w:tc>
      </w:tr>
      <w:tr w:rsidR="00517823" w14:paraId="60A348CC" w14:textId="77777777" w:rsidTr="00116723">
        <w:tc>
          <w:tcPr>
            <w:tcW w:w="10456" w:type="dxa"/>
          </w:tcPr>
          <w:p w14:paraId="6E33CE45" w14:textId="77777777" w:rsidR="00517823" w:rsidRPr="008E15AA" w:rsidRDefault="00517823" w:rsidP="00116723">
            <w:pPr>
              <w:tabs>
                <w:tab w:val="left" w:pos="3465"/>
              </w:tabs>
              <w:rPr>
                <w:sz w:val="24"/>
                <w:szCs w:val="24"/>
                <w:lang w:val="fr-FR"/>
              </w:rPr>
            </w:pPr>
            <w:r w:rsidRPr="008E15AA">
              <w:rPr>
                <w:sz w:val="24"/>
                <w:szCs w:val="24"/>
                <w:lang w:val="fr-FR"/>
              </w:rPr>
              <w:t xml:space="preserve">« Un petit souper à la Parisienne » ou «  Une famille de </w:t>
            </w:r>
            <w:proofErr w:type="spellStart"/>
            <w:r w:rsidRPr="008E15AA">
              <w:rPr>
                <w:sz w:val="24"/>
                <w:szCs w:val="24"/>
                <w:lang w:val="fr-FR"/>
              </w:rPr>
              <w:t>sans-culotttes</w:t>
            </w:r>
            <w:proofErr w:type="spellEnd"/>
            <w:r w:rsidRPr="008E15AA">
              <w:rPr>
                <w:sz w:val="24"/>
                <w:szCs w:val="24"/>
                <w:lang w:val="fr-FR"/>
              </w:rPr>
              <w:t xml:space="preserve"> se rest</w:t>
            </w:r>
            <w:r>
              <w:rPr>
                <w:sz w:val="24"/>
                <w:szCs w:val="24"/>
                <w:lang w:val="fr-FR"/>
              </w:rPr>
              <w:t>a</w:t>
            </w:r>
            <w:r w:rsidRPr="008E15AA">
              <w:rPr>
                <w:sz w:val="24"/>
                <w:szCs w:val="24"/>
                <w:lang w:val="fr-FR"/>
              </w:rPr>
              <w:t>urant après les fatigue</w:t>
            </w:r>
            <w:r>
              <w:rPr>
                <w:sz w:val="24"/>
                <w:szCs w:val="24"/>
                <w:lang w:val="fr-FR"/>
              </w:rPr>
              <w:t xml:space="preserve">s du jour », James </w:t>
            </w:r>
            <w:proofErr w:type="spellStart"/>
            <w:r>
              <w:rPr>
                <w:sz w:val="24"/>
                <w:szCs w:val="24"/>
                <w:lang w:val="fr-FR"/>
              </w:rPr>
              <w:t>Gillray</w:t>
            </w:r>
            <w:proofErr w:type="spellEnd"/>
            <w:r>
              <w:rPr>
                <w:sz w:val="24"/>
                <w:szCs w:val="24"/>
                <w:lang w:val="fr-FR"/>
              </w:rPr>
              <w:t xml:space="preserve"> 1792</w:t>
            </w:r>
            <w:r w:rsidRPr="008E15AA">
              <w:rPr>
                <w:sz w:val="24"/>
                <w:szCs w:val="24"/>
                <w:lang w:val="fr-FR"/>
              </w:rPr>
              <w:t xml:space="preserve">, publiée à Londres par Hannah Humphrey, 20 </w:t>
            </w:r>
            <w:proofErr w:type="spellStart"/>
            <w:r w:rsidRPr="008E15AA">
              <w:rPr>
                <w:sz w:val="24"/>
                <w:szCs w:val="24"/>
                <w:lang w:val="fr-FR"/>
              </w:rPr>
              <w:t>eptembre</w:t>
            </w:r>
            <w:proofErr w:type="spellEnd"/>
            <w:r w:rsidRPr="008E15AA">
              <w:rPr>
                <w:sz w:val="24"/>
                <w:szCs w:val="24"/>
                <w:lang w:val="fr-FR"/>
              </w:rPr>
              <w:t xml:space="preserve"> 1792</w:t>
            </w:r>
            <w:r>
              <w:rPr>
                <w:sz w:val="24"/>
                <w:szCs w:val="24"/>
                <w:lang w:val="fr-FR"/>
              </w:rPr>
              <w:t>.</w:t>
            </w:r>
          </w:p>
          <w:p w14:paraId="547D2939" w14:textId="77777777" w:rsidR="00517823" w:rsidRDefault="00517823" w:rsidP="00116723">
            <w:pPr>
              <w:tabs>
                <w:tab w:val="left" w:pos="3465"/>
              </w:tabs>
              <w:jc w:val="center"/>
              <w:rPr>
                <w:b/>
                <w:color w:val="FF0000"/>
                <w:sz w:val="24"/>
                <w:szCs w:val="24"/>
                <w:u w:val="single"/>
                <w:lang w:val="fr-FR"/>
              </w:rPr>
            </w:pPr>
            <w:r>
              <w:rPr>
                <w:b/>
                <w:noProof/>
                <w:color w:val="FF0000"/>
                <w:sz w:val="24"/>
                <w:szCs w:val="24"/>
                <w:u w:val="single"/>
                <w:lang w:eastAsia="fr-BE"/>
              </w:rPr>
              <w:drawing>
                <wp:inline distT="0" distB="0" distL="0" distR="0" wp14:anchorId="40DE551F" wp14:editId="2C74608D">
                  <wp:extent cx="5996305" cy="4267200"/>
                  <wp:effectExtent l="0" t="0" r="4445"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Caricature Sans-culotte.jpg"/>
                          <pic:cNvPicPr/>
                        </pic:nvPicPr>
                        <pic:blipFill rotWithShape="1">
                          <a:blip r:embed="rId8">
                            <a:extLst>
                              <a:ext uri="{28A0092B-C50C-407E-A947-70E740481C1C}">
                                <a14:useLocalDpi xmlns:a14="http://schemas.microsoft.com/office/drawing/2010/main" val="0"/>
                              </a:ext>
                            </a:extLst>
                          </a:blip>
                          <a:srcRect b="11785"/>
                          <a:stretch/>
                        </pic:blipFill>
                        <pic:spPr bwMode="auto">
                          <a:xfrm>
                            <a:off x="0" y="0"/>
                            <a:ext cx="5999416" cy="4269414"/>
                          </a:xfrm>
                          <a:prstGeom prst="rect">
                            <a:avLst/>
                          </a:prstGeom>
                          <a:ln>
                            <a:noFill/>
                          </a:ln>
                          <a:extLst>
                            <a:ext uri="{53640926-AAD7-44D8-BBD7-CCE9431645EC}">
                              <a14:shadowObscured xmlns:a14="http://schemas.microsoft.com/office/drawing/2010/main"/>
                            </a:ext>
                          </a:extLst>
                        </pic:spPr>
                      </pic:pic>
                    </a:graphicData>
                  </a:graphic>
                </wp:inline>
              </w:drawing>
            </w:r>
          </w:p>
        </w:tc>
      </w:tr>
      <w:tr w:rsidR="00517823" w14:paraId="41BFC593" w14:textId="77777777" w:rsidTr="00116723">
        <w:tc>
          <w:tcPr>
            <w:tcW w:w="10456" w:type="dxa"/>
          </w:tcPr>
          <w:p w14:paraId="732C92D2" w14:textId="77777777" w:rsidR="00517823" w:rsidRPr="00081121" w:rsidRDefault="00517823" w:rsidP="00116723">
            <w:pPr>
              <w:tabs>
                <w:tab w:val="left" w:pos="3465"/>
              </w:tabs>
              <w:rPr>
                <w:b/>
                <w:noProof/>
                <w:sz w:val="24"/>
                <w:szCs w:val="24"/>
                <w:u w:val="single"/>
                <w:lang w:eastAsia="fr-BE"/>
              </w:rPr>
            </w:pPr>
            <w:r w:rsidRPr="00081121">
              <w:rPr>
                <w:b/>
                <w:noProof/>
                <w:sz w:val="24"/>
                <w:szCs w:val="24"/>
                <w:u w:val="single"/>
                <w:lang w:eastAsia="fr-BE"/>
              </w:rPr>
              <w:t>Doc. n°1 - Données statistiques</w:t>
            </w:r>
            <w:r>
              <w:rPr>
                <w:b/>
                <w:noProof/>
                <w:sz w:val="24"/>
                <w:szCs w:val="24"/>
                <w:u w:val="single"/>
                <w:lang w:eastAsia="fr-BE"/>
              </w:rPr>
              <w:t xml:space="preserve"> issues de Michelle Vovelle, « La révolution français », Armand Colin 1992 – François Furet et Mona Ozouf, « Acteurs », Flammarion 2007</w:t>
            </w:r>
            <w:r w:rsidRPr="00081121">
              <w:rPr>
                <w:b/>
                <w:noProof/>
                <w:sz w:val="24"/>
                <w:szCs w:val="24"/>
                <w:u w:val="single"/>
                <w:lang w:eastAsia="fr-BE"/>
              </w:rPr>
              <w:t xml:space="preserve"> </w:t>
            </w:r>
          </w:p>
          <w:p w14:paraId="100984E4" w14:textId="77777777" w:rsidR="00517823" w:rsidRPr="00081121" w:rsidRDefault="00517823" w:rsidP="00517823">
            <w:pPr>
              <w:pStyle w:val="Paragraphedeliste"/>
              <w:numPr>
                <w:ilvl w:val="0"/>
                <w:numId w:val="1"/>
              </w:numPr>
              <w:tabs>
                <w:tab w:val="left" w:pos="3465"/>
              </w:tabs>
              <w:rPr>
                <w:noProof/>
                <w:sz w:val="24"/>
                <w:szCs w:val="24"/>
                <w:u w:val="single"/>
                <w:lang w:eastAsia="fr-BE"/>
              </w:rPr>
            </w:pPr>
            <w:r w:rsidRPr="00081121">
              <w:rPr>
                <w:noProof/>
                <w:sz w:val="24"/>
                <w:szCs w:val="24"/>
                <w:lang w:eastAsia="fr-BE"/>
              </w:rPr>
              <w:t xml:space="preserve">8/9% de </w:t>
            </w:r>
            <w:r>
              <w:rPr>
                <w:noProof/>
                <w:sz w:val="24"/>
                <w:szCs w:val="24"/>
                <w:lang w:eastAsia="fr-BE"/>
              </w:rPr>
              <w:t>la population parisienne</w:t>
            </w:r>
          </w:p>
          <w:p w14:paraId="583BE961" w14:textId="77777777" w:rsidR="00517823" w:rsidRPr="00081121" w:rsidRDefault="00517823" w:rsidP="00517823">
            <w:pPr>
              <w:pStyle w:val="Paragraphedeliste"/>
              <w:numPr>
                <w:ilvl w:val="0"/>
                <w:numId w:val="1"/>
              </w:numPr>
              <w:tabs>
                <w:tab w:val="left" w:pos="3465"/>
              </w:tabs>
              <w:rPr>
                <w:noProof/>
                <w:sz w:val="24"/>
                <w:szCs w:val="24"/>
                <w:u w:val="single"/>
                <w:lang w:eastAsia="fr-BE"/>
              </w:rPr>
            </w:pPr>
            <w:r>
              <w:rPr>
                <w:noProof/>
                <w:sz w:val="24"/>
                <w:szCs w:val="24"/>
                <w:lang w:eastAsia="fr-BE"/>
              </w:rPr>
              <w:t>80% mariés</w:t>
            </w:r>
          </w:p>
          <w:p w14:paraId="0D75242E" w14:textId="77777777" w:rsidR="00517823" w:rsidRPr="00081121" w:rsidRDefault="00517823" w:rsidP="00517823">
            <w:pPr>
              <w:pStyle w:val="Paragraphedeliste"/>
              <w:numPr>
                <w:ilvl w:val="0"/>
                <w:numId w:val="1"/>
              </w:numPr>
              <w:tabs>
                <w:tab w:val="left" w:pos="3465"/>
              </w:tabs>
              <w:rPr>
                <w:noProof/>
                <w:sz w:val="24"/>
                <w:szCs w:val="24"/>
                <w:u w:val="single"/>
                <w:lang w:eastAsia="fr-BE"/>
              </w:rPr>
            </w:pPr>
            <w:r>
              <w:rPr>
                <w:noProof/>
                <w:sz w:val="24"/>
                <w:szCs w:val="24"/>
                <w:lang w:eastAsia="fr-BE"/>
              </w:rPr>
              <w:t>80% sachant lire et écrire</w:t>
            </w:r>
          </w:p>
          <w:p w14:paraId="61F9A870" w14:textId="77777777" w:rsidR="00517823" w:rsidRPr="00081121" w:rsidRDefault="00517823" w:rsidP="00517823">
            <w:pPr>
              <w:pStyle w:val="Paragraphedeliste"/>
              <w:numPr>
                <w:ilvl w:val="0"/>
                <w:numId w:val="1"/>
              </w:numPr>
              <w:tabs>
                <w:tab w:val="left" w:pos="3465"/>
              </w:tabs>
              <w:rPr>
                <w:noProof/>
                <w:sz w:val="24"/>
                <w:szCs w:val="24"/>
                <w:u w:val="single"/>
                <w:lang w:eastAsia="fr-BE"/>
              </w:rPr>
            </w:pPr>
            <w:r>
              <w:rPr>
                <w:noProof/>
                <w:sz w:val="24"/>
                <w:szCs w:val="24"/>
                <w:lang w:eastAsia="fr-BE"/>
              </w:rPr>
              <w:t>Age moyen 40/45 ans</w:t>
            </w:r>
          </w:p>
        </w:tc>
      </w:tr>
      <w:tr w:rsidR="00517823" w14:paraId="623F7B58" w14:textId="77777777" w:rsidTr="00116723">
        <w:tc>
          <w:tcPr>
            <w:tcW w:w="10456" w:type="dxa"/>
          </w:tcPr>
          <w:p w14:paraId="750B8006" w14:textId="77777777" w:rsidR="00517823" w:rsidRDefault="00517823" w:rsidP="00116723">
            <w:pPr>
              <w:tabs>
                <w:tab w:val="left" w:pos="3465"/>
              </w:tabs>
              <w:jc w:val="both"/>
              <w:rPr>
                <w:b/>
                <w:noProof/>
                <w:sz w:val="24"/>
                <w:szCs w:val="24"/>
                <w:u w:val="single"/>
                <w:lang w:eastAsia="fr-BE"/>
              </w:rPr>
            </w:pPr>
            <w:r w:rsidRPr="00081121">
              <w:rPr>
                <w:b/>
                <w:noProof/>
                <w:sz w:val="24"/>
                <w:szCs w:val="24"/>
                <w:u w:val="single"/>
                <w:lang w:eastAsia="fr-BE"/>
              </w:rPr>
              <w:t>Doc. n</w:t>
            </w:r>
            <w:r>
              <w:rPr>
                <w:b/>
                <w:noProof/>
                <w:sz w:val="24"/>
                <w:szCs w:val="24"/>
                <w:u w:val="single"/>
                <w:lang w:eastAsia="fr-BE"/>
              </w:rPr>
              <w:t>°2</w:t>
            </w:r>
            <w:r w:rsidRPr="00081121">
              <w:rPr>
                <w:b/>
                <w:noProof/>
                <w:sz w:val="24"/>
                <w:szCs w:val="24"/>
                <w:u w:val="single"/>
                <w:lang w:eastAsia="fr-BE"/>
              </w:rPr>
              <w:t xml:space="preserve"> </w:t>
            </w:r>
            <w:r>
              <w:rPr>
                <w:b/>
                <w:noProof/>
                <w:sz w:val="24"/>
                <w:szCs w:val="24"/>
                <w:u w:val="single"/>
                <w:lang w:eastAsia="fr-BE"/>
              </w:rPr>
              <w:t>–</w:t>
            </w:r>
            <w:r w:rsidRPr="00081121">
              <w:rPr>
                <w:b/>
                <w:noProof/>
                <w:sz w:val="24"/>
                <w:szCs w:val="24"/>
                <w:u w:val="single"/>
                <w:lang w:eastAsia="fr-BE"/>
              </w:rPr>
              <w:t xml:space="preserve"> </w:t>
            </w:r>
            <w:r>
              <w:rPr>
                <w:b/>
                <w:noProof/>
                <w:sz w:val="24"/>
                <w:szCs w:val="24"/>
                <w:u w:val="single"/>
                <w:lang w:eastAsia="fr-BE"/>
              </w:rPr>
              <w:t>Origines socio-professionnelles issues de Michelle Vovelle, « La révolution français », Armand Colin 1992</w:t>
            </w:r>
          </w:p>
          <w:tbl>
            <w:tblPr>
              <w:tblStyle w:val="Grilledutableau"/>
              <w:tblW w:w="0" w:type="auto"/>
              <w:tblInd w:w="1300" w:type="dxa"/>
              <w:tblLook w:val="04A0" w:firstRow="1" w:lastRow="0" w:firstColumn="1" w:lastColumn="0" w:noHBand="0" w:noVBand="1"/>
            </w:tblPr>
            <w:tblGrid>
              <w:gridCol w:w="1257"/>
              <w:gridCol w:w="1720"/>
              <w:gridCol w:w="2835"/>
              <w:gridCol w:w="1701"/>
            </w:tblGrid>
            <w:tr w:rsidR="00517823" w14:paraId="2D2566F6" w14:textId="77777777" w:rsidTr="00116723">
              <w:tc>
                <w:tcPr>
                  <w:tcW w:w="1257" w:type="dxa"/>
                </w:tcPr>
                <w:p w14:paraId="553B6E66" w14:textId="77777777" w:rsidR="00517823" w:rsidRPr="00081121" w:rsidRDefault="00517823" w:rsidP="00116723">
                  <w:pPr>
                    <w:tabs>
                      <w:tab w:val="left" w:pos="3465"/>
                    </w:tabs>
                    <w:jc w:val="both"/>
                    <w:rPr>
                      <w:i/>
                      <w:noProof/>
                      <w:sz w:val="24"/>
                      <w:szCs w:val="24"/>
                      <w:lang w:eastAsia="fr-BE"/>
                    </w:rPr>
                  </w:pPr>
                </w:p>
              </w:tc>
              <w:tc>
                <w:tcPr>
                  <w:tcW w:w="1720" w:type="dxa"/>
                </w:tcPr>
                <w:p w14:paraId="64072195" w14:textId="77777777" w:rsidR="00517823" w:rsidRPr="00081121" w:rsidRDefault="00517823" w:rsidP="00116723">
                  <w:pPr>
                    <w:tabs>
                      <w:tab w:val="left" w:pos="3465"/>
                    </w:tabs>
                    <w:jc w:val="center"/>
                    <w:rPr>
                      <w:i/>
                      <w:noProof/>
                      <w:sz w:val="24"/>
                      <w:szCs w:val="24"/>
                      <w:lang w:eastAsia="fr-BE"/>
                    </w:rPr>
                  </w:pPr>
                  <w:r w:rsidRPr="00081121">
                    <w:rPr>
                      <w:i/>
                      <w:noProof/>
                      <w:sz w:val="24"/>
                      <w:szCs w:val="24"/>
                      <w:lang w:eastAsia="fr-BE"/>
                    </w:rPr>
                    <w:t>Bourgeoisie</w:t>
                  </w:r>
                </w:p>
              </w:tc>
              <w:tc>
                <w:tcPr>
                  <w:tcW w:w="2835" w:type="dxa"/>
                </w:tcPr>
                <w:p w14:paraId="00A04BDE" w14:textId="77777777" w:rsidR="00517823" w:rsidRPr="00081121" w:rsidRDefault="00517823" w:rsidP="00116723">
                  <w:pPr>
                    <w:tabs>
                      <w:tab w:val="left" w:pos="3465"/>
                    </w:tabs>
                    <w:jc w:val="center"/>
                    <w:rPr>
                      <w:i/>
                      <w:noProof/>
                      <w:sz w:val="24"/>
                      <w:szCs w:val="24"/>
                      <w:lang w:eastAsia="fr-BE"/>
                    </w:rPr>
                  </w:pPr>
                  <w:r w:rsidRPr="00081121">
                    <w:rPr>
                      <w:i/>
                      <w:noProof/>
                      <w:sz w:val="24"/>
                      <w:szCs w:val="24"/>
                      <w:lang w:eastAsia="fr-BE"/>
                    </w:rPr>
                    <w:t>Producteurs indépendants</w:t>
                  </w:r>
                </w:p>
                <w:p w14:paraId="208B24FE" w14:textId="77777777" w:rsidR="00517823" w:rsidRPr="00081121" w:rsidRDefault="00517823" w:rsidP="00116723">
                  <w:pPr>
                    <w:tabs>
                      <w:tab w:val="left" w:pos="3465"/>
                    </w:tabs>
                    <w:jc w:val="center"/>
                    <w:rPr>
                      <w:i/>
                      <w:noProof/>
                      <w:sz w:val="24"/>
                      <w:szCs w:val="24"/>
                      <w:lang w:eastAsia="fr-BE"/>
                    </w:rPr>
                  </w:pPr>
                  <w:r w:rsidRPr="00081121">
                    <w:rPr>
                      <w:i/>
                      <w:noProof/>
                      <w:sz w:val="24"/>
                      <w:szCs w:val="24"/>
                      <w:lang w:eastAsia="fr-BE"/>
                    </w:rPr>
                    <w:t>Artisant - boutique</w:t>
                  </w:r>
                </w:p>
              </w:tc>
              <w:tc>
                <w:tcPr>
                  <w:tcW w:w="1701" w:type="dxa"/>
                </w:tcPr>
                <w:p w14:paraId="1516F799" w14:textId="77777777" w:rsidR="00517823" w:rsidRPr="00081121" w:rsidRDefault="00517823" w:rsidP="00116723">
                  <w:pPr>
                    <w:tabs>
                      <w:tab w:val="left" w:pos="3465"/>
                    </w:tabs>
                    <w:jc w:val="center"/>
                    <w:rPr>
                      <w:i/>
                      <w:noProof/>
                      <w:sz w:val="24"/>
                      <w:szCs w:val="24"/>
                      <w:lang w:eastAsia="fr-BE"/>
                    </w:rPr>
                  </w:pPr>
                  <w:r w:rsidRPr="00081121">
                    <w:rPr>
                      <w:i/>
                      <w:noProof/>
                      <w:sz w:val="24"/>
                      <w:szCs w:val="24"/>
                      <w:lang w:eastAsia="fr-BE"/>
                    </w:rPr>
                    <w:t>Salariés</w:t>
                  </w:r>
                </w:p>
              </w:tc>
            </w:tr>
            <w:tr w:rsidR="00517823" w14:paraId="1FDE39C8" w14:textId="77777777" w:rsidTr="00116723">
              <w:tc>
                <w:tcPr>
                  <w:tcW w:w="1257" w:type="dxa"/>
                </w:tcPr>
                <w:p w14:paraId="0EEBBA4F" w14:textId="77777777" w:rsidR="00517823" w:rsidRPr="00081121" w:rsidRDefault="00517823" w:rsidP="00116723">
                  <w:pPr>
                    <w:tabs>
                      <w:tab w:val="left" w:pos="3465"/>
                    </w:tabs>
                    <w:jc w:val="both"/>
                    <w:rPr>
                      <w:i/>
                      <w:noProof/>
                      <w:sz w:val="24"/>
                      <w:szCs w:val="24"/>
                      <w:lang w:eastAsia="fr-BE"/>
                    </w:rPr>
                  </w:pPr>
                  <w:r w:rsidRPr="00081121">
                    <w:rPr>
                      <w:i/>
                      <w:noProof/>
                      <w:sz w:val="24"/>
                      <w:szCs w:val="24"/>
                      <w:lang w:eastAsia="fr-BE"/>
                    </w:rPr>
                    <w:t>Paris</w:t>
                  </w:r>
                </w:p>
              </w:tc>
              <w:tc>
                <w:tcPr>
                  <w:tcW w:w="1720" w:type="dxa"/>
                </w:tcPr>
                <w:p w14:paraId="045716BF" w14:textId="77777777" w:rsidR="00517823" w:rsidRDefault="00517823" w:rsidP="00116723">
                  <w:pPr>
                    <w:tabs>
                      <w:tab w:val="left" w:pos="3465"/>
                    </w:tabs>
                    <w:jc w:val="center"/>
                    <w:rPr>
                      <w:noProof/>
                      <w:sz w:val="24"/>
                      <w:szCs w:val="24"/>
                      <w:lang w:eastAsia="fr-BE"/>
                    </w:rPr>
                  </w:pPr>
                  <w:r>
                    <w:rPr>
                      <w:noProof/>
                      <w:sz w:val="24"/>
                      <w:szCs w:val="24"/>
                      <w:lang w:eastAsia="fr-BE"/>
                    </w:rPr>
                    <w:t>18%</w:t>
                  </w:r>
                </w:p>
              </w:tc>
              <w:tc>
                <w:tcPr>
                  <w:tcW w:w="2835" w:type="dxa"/>
                </w:tcPr>
                <w:p w14:paraId="1C105566" w14:textId="77777777" w:rsidR="00517823" w:rsidRDefault="00517823" w:rsidP="00116723">
                  <w:pPr>
                    <w:tabs>
                      <w:tab w:val="left" w:pos="3465"/>
                    </w:tabs>
                    <w:jc w:val="center"/>
                    <w:rPr>
                      <w:noProof/>
                      <w:sz w:val="24"/>
                      <w:szCs w:val="24"/>
                      <w:lang w:eastAsia="fr-BE"/>
                    </w:rPr>
                  </w:pPr>
                  <w:r>
                    <w:rPr>
                      <w:noProof/>
                      <w:sz w:val="24"/>
                      <w:szCs w:val="24"/>
                      <w:lang w:eastAsia="fr-BE"/>
                    </w:rPr>
                    <w:t>57%</w:t>
                  </w:r>
                </w:p>
              </w:tc>
              <w:tc>
                <w:tcPr>
                  <w:tcW w:w="1701" w:type="dxa"/>
                </w:tcPr>
                <w:p w14:paraId="39A8E822" w14:textId="77777777" w:rsidR="00517823" w:rsidRDefault="00517823" w:rsidP="00116723">
                  <w:pPr>
                    <w:tabs>
                      <w:tab w:val="left" w:pos="3465"/>
                    </w:tabs>
                    <w:jc w:val="center"/>
                    <w:rPr>
                      <w:noProof/>
                      <w:sz w:val="24"/>
                      <w:szCs w:val="24"/>
                      <w:lang w:eastAsia="fr-BE"/>
                    </w:rPr>
                  </w:pPr>
                  <w:r>
                    <w:rPr>
                      <w:noProof/>
                      <w:sz w:val="24"/>
                      <w:szCs w:val="24"/>
                      <w:lang w:eastAsia="fr-BE"/>
                    </w:rPr>
                    <w:t>20%</w:t>
                  </w:r>
                </w:p>
              </w:tc>
            </w:tr>
            <w:tr w:rsidR="00517823" w14:paraId="7D9EF4B2" w14:textId="77777777" w:rsidTr="00116723">
              <w:tc>
                <w:tcPr>
                  <w:tcW w:w="1257" w:type="dxa"/>
                </w:tcPr>
                <w:p w14:paraId="2B5B6C26" w14:textId="77777777" w:rsidR="00517823" w:rsidRPr="00081121" w:rsidRDefault="00517823" w:rsidP="00116723">
                  <w:pPr>
                    <w:tabs>
                      <w:tab w:val="left" w:pos="3465"/>
                    </w:tabs>
                    <w:jc w:val="both"/>
                    <w:rPr>
                      <w:i/>
                      <w:noProof/>
                      <w:sz w:val="24"/>
                      <w:szCs w:val="24"/>
                      <w:lang w:eastAsia="fr-BE"/>
                    </w:rPr>
                  </w:pPr>
                  <w:r w:rsidRPr="00081121">
                    <w:rPr>
                      <w:i/>
                      <w:noProof/>
                      <w:sz w:val="24"/>
                      <w:szCs w:val="24"/>
                      <w:lang w:eastAsia="fr-BE"/>
                    </w:rPr>
                    <w:t>Marseille</w:t>
                  </w:r>
                </w:p>
              </w:tc>
              <w:tc>
                <w:tcPr>
                  <w:tcW w:w="1720" w:type="dxa"/>
                </w:tcPr>
                <w:p w14:paraId="6D50B403" w14:textId="77777777" w:rsidR="00517823" w:rsidRDefault="00517823" w:rsidP="00116723">
                  <w:pPr>
                    <w:tabs>
                      <w:tab w:val="left" w:pos="3465"/>
                    </w:tabs>
                    <w:jc w:val="center"/>
                    <w:rPr>
                      <w:noProof/>
                      <w:sz w:val="24"/>
                      <w:szCs w:val="24"/>
                      <w:lang w:eastAsia="fr-BE"/>
                    </w:rPr>
                  </w:pPr>
                  <w:r>
                    <w:rPr>
                      <w:noProof/>
                      <w:sz w:val="24"/>
                      <w:szCs w:val="24"/>
                      <w:lang w:eastAsia="fr-BE"/>
                    </w:rPr>
                    <w:t>30%</w:t>
                  </w:r>
                </w:p>
              </w:tc>
              <w:tc>
                <w:tcPr>
                  <w:tcW w:w="2835" w:type="dxa"/>
                </w:tcPr>
                <w:p w14:paraId="4C16B87F" w14:textId="77777777" w:rsidR="00517823" w:rsidRDefault="00517823" w:rsidP="00116723">
                  <w:pPr>
                    <w:tabs>
                      <w:tab w:val="left" w:pos="3465"/>
                    </w:tabs>
                    <w:jc w:val="center"/>
                    <w:rPr>
                      <w:noProof/>
                      <w:sz w:val="24"/>
                      <w:szCs w:val="24"/>
                      <w:lang w:eastAsia="fr-BE"/>
                    </w:rPr>
                  </w:pPr>
                  <w:r>
                    <w:rPr>
                      <w:noProof/>
                      <w:sz w:val="24"/>
                      <w:szCs w:val="24"/>
                      <w:lang w:eastAsia="fr-BE"/>
                    </w:rPr>
                    <w:t>50%</w:t>
                  </w:r>
                </w:p>
              </w:tc>
              <w:tc>
                <w:tcPr>
                  <w:tcW w:w="1701" w:type="dxa"/>
                </w:tcPr>
                <w:p w14:paraId="1EB0BF13" w14:textId="77777777" w:rsidR="00517823" w:rsidRDefault="00517823" w:rsidP="00116723">
                  <w:pPr>
                    <w:tabs>
                      <w:tab w:val="left" w:pos="3465"/>
                    </w:tabs>
                    <w:jc w:val="center"/>
                    <w:rPr>
                      <w:noProof/>
                      <w:sz w:val="24"/>
                      <w:szCs w:val="24"/>
                      <w:lang w:eastAsia="fr-BE"/>
                    </w:rPr>
                  </w:pPr>
                  <w:r>
                    <w:rPr>
                      <w:noProof/>
                      <w:sz w:val="24"/>
                      <w:szCs w:val="24"/>
                      <w:lang w:eastAsia="fr-BE"/>
                    </w:rPr>
                    <w:t>20%</w:t>
                  </w:r>
                </w:p>
              </w:tc>
            </w:tr>
          </w:tbl>
          <w:p w14:paraId="561E44BA" w14:textId="77777777" w:rsidR="00517823" w:rsidRPr="00081121" w:rsidRDefault="00517823" w:rsidP="00116723">
            <w:pPr>
              <w:tabs>
                <w:tab w:val="left" w:pos="3465"/>
              </w:tabs>
              <w:jc w:val="both"/>
              <w:rPr>
                <w:noProof/>
                <w:sz w:val="24"/>
                <w:szCs w:val="24"/>
                <w:lang w:eastAsia="fr-BE"/>
              </w:rPr>
            </w:pPr>
          </w:p>
        </w:tc>
      </w:tr>
      <w:tr w:rsidR="00517823" w:rsidRPr="00CD287F" w14:paraId="0717F7D0" w14:textId="77777777" w:rsidTr="00116723">
        <w:tc>
          <w:tcPr>
            <w:tcW w:w="10456" w:type="dxa"/>
          </w:tcPr>
          <w:p w14:paraId="386BCEC3" w14:textId="77777777" w:rsidR="00517823" w:rsidRPr="007A6B87" w:rsidRDefault="00517823" w:rsidP="00116723">
            <w:pPr>
              <w:tabs>
                <w:tab w:val="left" w:pos="3465"/>
              </w:tabs>
              <w:jc w:val="both"/>
              <w:rPr>
                <w:b/>
                <w:noProof/>
                <w:sz w:val="24"/>
                <w:szCs w:val="24"/>
                <w:u w:val="single"/>
                <w:lang w:eastAsia="fr-BE"/>
              </w:rPr>
            </w:pPr>
            <w:r w:rsidRPr="00081121">
              <w:rPr>
                <w:b/>
                <w:noProof/>
                <w:sz w:val="24"/>
                <w:szCs w:val="24"/>
                <w:u w:val="single"/>
                <w:lang w:eastAsia="fr-BE"/>
              </w:rPr>
              <w:t>Doc. n</w:t>
            </w:r>
            <w:r>
              <w:rPr>
                <w:b/>
                <w:noProof/>
                <w:sz w:val="24"/>
                <w:szCs w:val="24"/>
                <w:u w:val="single"/>
                <w:lang w:eastAsia="fr-BE"/>
              </w:rPr>
              <w:t>°3</w:t>
            </w:r>
            <w:r w:rsidRPr="00081121">
              <w:rPr>
                <w:b/>
                <w:noProof/>
                <w:sz w:val="24"/>
                <w:szCs w:val="24"/>
                <w:u w:val="single"/>
                <w:lang w:eastAsia="fr-BE"/>
              </w:rPr>
              <w:t xml:space="preserve"> </w:t>
            </w:r>
            <w:r>
              <w:rPr>
                <w:b/>
                <w:noProof/>
                <w:sz w:val="24"/>
                <w:szCs w:val="24"/>
                <w:u w:val="single"/>
                <w:lang w:eastAsia="fr-BE"/>
              </w:rPr>
              <w:t>–</w:t>
            </w:r>
            <w:r w:rsidRPr="00081121">
              <w:rPr>
                <w:b/>
                <w:noProof/>
                <w:sz w:val="24"/>
                <w:szCs w:val="24"/>
                <w:u w:val="single"/>
                <w:lang w:eastAsia="fr-BE"/>
              </w:rPr>
              <w:t xml:space="preserve"> </w:t>
            </w:r>
            <w:r>
              <w:rPr>
                <w:b/>
                <w:noProof/>
                <w:sz w:val="24"/>
                <w:szCs w:val="24"/>
                <w:u w:val="single"/>
                <w:lang w:eastAsia="fr-BE"/>
              </w:rPr>
              <w:t>E</w:t>
            </w:r>
            <w:r w:rsidRPr="007A6B87">
              <w:rPr>
                <w:b/>
                <w:noProof/>
                <w:sz w:val="24"/>
                <w:szCs w:val="24"/>
                <w:u w:val="single"/>
                <w:lang w:eastAsia="fr-BE"/>
              </w:rPr>
              <w:t xml:space="preserve">xtrait </w:t>
            </w:r>
            <w:r>
              <w:rPr>
                <w:b/>
                <w:noProof/>
                <w:sz w:val="24"/>
                <w:szCs w:val="24"/>
                <w:u w:val="single"/>
                <w:lang w:eastAsia="fr-BE"/>
              </w:rPr>
              <w:t xml:space="preserve">du journal le </w:t>
            </w:r>
            <w:r w:rsidRPr="007A6B87">
              <w:rPr>
                <w:b/>
                <w:noProof/>
                <w:sz w:val="24"/>
                <w:szCs w:val="24"/>
                <w:u w:val="single"/>
                <w:lang w:eastAsia="fr-BE"/>
              </w:rPr>
              <w:t>Père Duchesne – 1793</w:t>
            </w:r>
          </w:p>
          <w:p w14:paraId="1AE7E8FB" w14:textId="77777777" w:rsidR="00517823" w:rsidRPr="007A6B87" w:rsidRDefault="00517823" w:rsidP="00116723">
            <w:pPr>
              <w:tabs>
                <w:tab w:val="left" w:pos="3465"/>
              </w:tabs>
              <w:rPr>
                <w:sz w:val="10"/>
                <w:szCs w:val="10"/>
                <w:lang w:val="fr-FR"/>
              </w:rPr>
            </w:pPr>
          </w:p>
          <w:p w14:paraId="4DE1AC5D" w14:textId="77777777" w:rsidR="00517823" w:rsidRDefault="00517823" w:rsidP="00116723">
            <w:pPr>
              <w:pStyle w:val="Paragraphedeliste"/>
              <w:jc w:val="both"/>
              <w:rPr>
                <w:sz w:val="24"/>
                <w:szCs w:val="24"/>
                <w:lang w:val="fr-FR"/>
              </w:rPr>
            </w:pPr>
            <w:r>
              <w:rPr>
                <w:sz w:val="24"/>
                <w:szCs w:val="24"/>
                <w:lang w:val="fr-FR"/>
              </w:rPr>
              <w:t>« C’est un être qui va toujours à pied, qui n’a point de millions, point de château, point de valets pour le servir, et qui loge tout simplement avec sa femme et ses enfants, au quatrième ou au cinquième étage. Il est utile, il sait labourer, forger, scier, et versera jusqu’à la dernière goutte de son sang pour la République. Le soir, il se présente à sa section, pour appuyer de toutes ses forces les bonnes motions. »</w:t>
            </w:r>
          </w:p>
          <w:p w14:paraId="659E5B0D" w14:textId="77777777" w:rsidR="00517823" w:rsidRPr="007A6B87" w:rsidRDefault="00517823" w:rsidP="00116723">
            <w:pPr>
              <w:pStyle w:val="Paragraphedeliste"/>
              <w:jc w:val="both"/>
              <w:rPr>
                <w:sz w:val="10"/>
                <w:szCs w:val="10"/>
                <w:lang w:val="fr-FR"/>
              </w:rPr>
            </w:pPr>
          </w:p>
        </w:tc>
      </w:tr>
    </w:tbl>
    <w:p w14:paraId="3D8AA43B" w14:textId="77777777" w:rsidR="00517823" w:rsidRDefault="00517823" w:rsidP="00517823"/>
    <w:p w14:paraId="0ACB31B8" w14:textId="77777777" w:rsidR="00517823" w:rsidRDefault="00517823" w:rsidP="00517823">
      <w:r>
        <w:br w:type="page"/>
      </w:r>
    </w:p>
    <w:p w14:paraId="303F21DB" w14:textId="77777777" w:rsidR="00517823" w:rsidRDefault="00517823" w:rsidP="00517823"/>
    <w:tbl>
      <w:tblPr>
        <w:tblStyle w:val="Grilledutableau"/>
        <w:tblW w:w="0" w:type="auto"/>
        <w:tblLook w:val="04A0" w:firstRow="1" w:lastRow="0" w:firstColumn="1" w:lastColumn="0" w:noHBand="0" w:noVBand="1"/>
      </w:tblPr>
      <w:tblGrid>
        <w:gridCol w:w="10456"/>
      </w:tblGrid>
      <w:tr w:rsidR="00517823" w:rsidRPr="00CD287F" w14:paraId="52EB738A" w14:textId="77777777" w:rsidTr="00116723">
        <w:tc>
          <w:tcPr>
            <w:tcW w:w="10456" w:type="dxa"/>
          </w:tcPr>
          <w:p w14:paraId="0102A960" w14:textId="77777777" w:rsidR="00517823" w:rsidRDefault="00517823" w:rsidP="00116723">
            <w:pPr>
              <w:tabs>
                <w:tab w:val="left" w:pos="3465"/>
              </w:tabs>
              <w:jc w:val="both"/>
              <w:rPr>
                <w:b/>
                <w:noProof/>
                <w:sz w:val="24"/>
                <w:szCs w:val="24"/>
                <w:u w:val="single"/>
                <w:lang w:eastAsia="fr-BE"/>
              </w:rPr>
            </w:pPr>
            <w:r w:rsidRPr="00081121">
              <w:rPr>
                <w:b/>
                <w:noProof/>
                <w:sz w:val="24"/>
                <w:szCs w:val="24"/>
                <w:u w:val="single"/>
                <w:lang w:eastAsia="fr-BE"/>
              </w:rPr>
              <w:t>Doc. n</w:t>
            </w:r>
            <w:r>
              <w:rPr>
                <w:b/>
                <w:noProof/>
                <w:sz w:val="24"/>
                <w:szCs w:val="24"/>
                <w:u w:val="single"/>
                <w:lang w:eastAsia="fr-BE"/>
              </w:rPr>
              <w:t>°4</w:t>
            </w:r>
            <w:r w:rsidRPr="00081121">
              <w:rPr>
                <w:b/>
                <w:noProof/>
                <w:sz w:val="24"/>
                <w:szCs w:val="24"/>
                <w:u w:val="single"/>
                <w:lang w:eastAsia="fr-BE"/>
              </w:rPr>
              <w:t xml:space="preserve"> </w:t>
            </w:r>
            <w:r>
              <w:rPr>
                <w:b/>
                <w:noProof/>
                <w:sz w:val="24"/>
                <w:szCs w:val="24"/>
                <w:u w:val="single"/>
                <w:lang w:eastAsia="fr-BE"/>
              </w:rPr>
              <w:t>– François Furet et Mona Ozouf, « Acteurs », Flammarion 2007</w:t>
            </w:r>
          </w:p>
          <w:p w14:paraId="5E28810B" w14:textId="77777777" w:rsidR="00517823" w:rsidRPr="00E005AF" w:rsidRDefault="00517823" w:rsidP="00116723">
            <w:pPr>
              <w:tabs>
                <w:tab w:val="left" w:pos="3465"/>
              </w:tabs>
              <w:jc w:val="both"/>
              <w:rPr>
                <w:noProof/>
                <w:sz w:val="24"/>
                <w:szCs w:val="24"/>
                <w:lang w:eastAsia="fr-BE"/>
              </w:rPr>
            </w:pPr>
            <w:r>
              <w:rPr>
                <w:noProof/>
                <w:sz w:val="24"/>
                <w:szCs w:val="24"/>
                <w:lang w:eastAsia="fr-BE"/>
              </w:rPr>
              <w:t>« La fraternité est le premier principe. La première des sociétés populaires s’intitulera la « société fraternelle des patriotes des deux sexes ». Les sans-culottes aiment à échanger des « baisers fraternelles ». Il importe aussi d’exprimer cette allégeance au groupe par le port d’un vêtement distinctif. Le sans-culotte porte un pantalon ainsi qu’une carmagnole, des bretelles et des sabots, un bonnet rouge et une cocarde tricolore. La femme porte une robe-blanche. Le sans-culotte s’adresse fraternellement à tout citoyen et à toute citoyenne par le tutoiement. »</w:t>
            </w:r>
          </w:p>
        </w:tc>
      </w:tr>
      <w:tr w:rsidR="00517823" w:rsidRPr="00F00262" w14:paraId="69A9E0C4" w14:textId="77777777" w:rsidTr="00116723">
        <w:tc>
          <w:tcPr>
            <w:tcW w:w="10456" w:type="dxa"/>
          </w:tcPr>
          <w:p w14:paraId="2DBC53B2" w14:textId="77777777" w:rsidR="00517823" w:rsidRPr="004B5ECA" w:rsidRDefault="00517823" w:rsidP="00116723">
            <w:pPr>
              <w:pStyle w:val="Paragraphedeliste"/>
              <w:ind w:left="0"/>
              <w:jc w:val="both"/>
              <w:rPr>
                <w:b/>
                <w:noProof/>
                <w:sz w:val="24"/>
                <w:szCs w:val="24"/>
                <w:u w:val="single"/>
                <w:lang w:eastAsia="fr-BE"/>
              </w:rPr>
            </w:pPr>
            <w:r w:rsidRPr="00081121">
              <w:rPr>
                <w:b/>
                <w:noProof/>
                <w:sz w:val="24"/>
                <w:szCs w:val="24"/>
                <w:u w:val="single"/>
                <w:lang w:eastAsia="fr-BE"/>
              </w:rPr>
              <w:t>Doc. n</w:t>
            </w:r>
            <w:r>
              <w:rPr>
                <w:b/>
                <w:noProof/>
                <w:sz w:val="24"/>
                <w:szCs w:val="24"/>
                <w:u w:val="single"/>
                <w:lang w:eastAsia="fr-BE"/>
              </w:rPr>
              <w:t>°5</w:t>
            </w:r>
            <w:r w:rsidRPr="00081121">
              <w:rPr>
                <w:b/>
                <w:noProof/>
                <w:sz w:val="24"/>
                <w:szCs w:val="24"/>
                <w:u w:val="single"/>
                <w:lang w:eastAsia="fr-BE"/>
              </w:rPr>
              <w:t xml:space="preserve"> </w:t>
            </w:r>
            <w:r>
              <w:rPr>
                <w:b/>
                <w:noProof/>
                <w:sz w:val="24"/>
                <w:szCs w:val="24"/>
                <w:u w:val="single"/>
                <w:lang w:eastAsia="fr-BE"/>
              </w:rPr>
              <w:t xml:space="preserve">– Extrait </w:t>
            </w:r>
            <w:r w:rsidRPr="004B5ECA">
              <w:rPr>
                <w:b/>
                <w:noProof/>
                <w:sz w:val="24"/>
                <w:szCs w:val="24"/>
                <w:u w:val="single"/>
                <w:lang w:eastAsia="fr-BE"/>
              </w:rPr>
              <w:t xml:space="preserve">Adresse à la Convention nationale </w:t>
            </w:r>
            <w:r>
              <w:rPr>
                <w:b/>
                <w:noProof/>
                <w:sz w:val="24"/>
                <w:szCs w:val="24"/>
                <w:u w:val="single"/>
                <w:lang w:eastAsia="fr-BE"/>
              </w:rPr>
              <w:t xml:space="preserve">– </w:t>
            </w:r>
            <w:r w:rsidRPr="004B5ECA">
              <w:rPr>
                <w:b/>
                <w:noProof/>
                <w:sz w:val="24"/>
                <w:szCs w:val="24"/>
                <w:u w:val="single"/>
                <w:lang w:eastAsia="fr-BE"/>
              </w:rPr>
              <w:t>S</w:t>
            </w:r>
            <w:r>
              <w:rPr>
                <w:b/>
                <w:noProof/>
                <w:sz w:val="24"/>
                <w:szCs w:val="24"/>
                <w:u w:val="single"/>
                <w:lang w:eastAsia="fr-BE"/>
              </w:rPr>
              <w:t>ection des Sans-Culottes - 1793</w:t>
            </w:r>
            <w:r w:rsidRPr="004B5ECA">
              <w:rPr>
                <w:b/>
                <w:noProof/>
                <w:sz w:val="24"/>
                <w:szCs w:val="24"/>
                <w:u w:val="single"/>
                <w:lang w:eastAsia="fr-BE"/>
              </w:rPr>
              <w:t xml:space="preserve"> </w:t>
            </w:r>
          </w:p>
          <w:p w14:paraId="2CE38FFC" w14:textId="77777777" w:rsidR="00517823" w:rsidRPr="00F00262" w:rsidRDefault="00517823" w:rsidP="00116723">
            <w:pPr>
              <w:pStyle w:val="Paragraphedeliste"/>
              <w:jc w:val="both"/>
              <w:rPr>
                <w:sz w:val="24"/>
                <w:szCs w:val="24"/>
                <w:lang w:val="fr-FR"/>
              </w:rPr>
            </w:pPr>
            <w:r>
              <w:rPr>
                <w:sz w:val="24"/>
                <w:szCs w:val="24"/>
                <w:lang w:val="fr-FR"/>
              </w:rPr>
              <w:t>« Liberté, égalité ou la mort</w:t>
            </w:r>
          </w:p>
          <w:p w14:paraId="3117727E" w14:textId="77777777" w:rsidR="00517823" w:rsidRDefault="00517823" w:rsidP="00116723">
            <w:pPr>
              <w:pStyle w:val="Paragraphedeliste"/>
              <w:jc w:val="both"/>
              <w:rPr>
                <w:sz w:val="24"/>
                <w:szCs w:val="24"/>
                <w:lang w:val="fr-FR"/>
              </w:rPr>
            </w:pPr>
            <w:r>
              <w:rPr>
                <w:sz w:val="24"/>
                <w:szCs w:val="24"/>
                <w:lang w:val="fr-FR"/>
              </w:rPr>
              <w:t>Section des sans-culottes</w:t>
            </w:r>
          </w:p>
          <w:p w14:paraId="6B900B3C" w14:textId="77777777" w:rsidR="00517823" w:rsidRDefault="00517823" w:rsidP="00116723">
            <w:pPr>
              <w:pStyle w:val="Paragraphedeliste"/>
              <w:jc w:val="both"/>
              <w:rPr>
                <w:sz w:val="24"/>
                <w:szCs w:val="24"/>
                <w:lang w:val="fr-FR"/>
              </w:rPr>
            </w:pPr>
            <w:r>
              <w:rPr>
                <w:sz w:val="24"/>
                <w:szCs w:val="24"/>
                <w:lang w:val="fr-FR"/>
              </w:rPr>
              <w:t xml:space="preserve">Adresse à la convention nationale </w:t>
            </w:r>
          </w:p>
          <w:p w14:paraId="100BF73C" w14:textId="77777777" w:rsidR="00517823" w:rsidRPr="00F00262" w:rsidRDefault="00517823" w:rsidP="00116723">
            <w:pPr>
              <w:pStyle w:val="Paragraphedeliste"/>
              <w:jc w:val="both"/>
              <w:rPr>
                <w:sz w:val="24"/>
                <w:szCs w:val="24"/>
                <w:lang w:val="fr-FR"/>
              </w:rPr>
            </w:pPr>
            <w:r>
              <w:rPr>
                <w:sz w:val="24"/>
                <w:szCs w:val="24"/>
                <w:lang w:val="fr-FR"/>
              </w:rPr>
              <w:t xml:space="preserve">Mandataires du peuple, </w:t>
            </w:r>
          </w:p>
          <w:p w14:paraId="361864C8" w14:textId="77777777" w:rsidR="00517823" w:rsidRPr="008F6F23" w:rsidRDefault="00517823" w:rsidP="00116723">
            <w:pPr>
              <w:pStyle w:val="Paragraphedeliste"/>
              <w:jc w:val="both"/>
              <w:rPr>
                <w:sz w:val="24"/>
                <w:szCs w:val="24"/>
                <w:lang w:val="fr-FR"/>
              </w:rPr>
            </w:pPr>
            <w:r w:rsidRPr="008F6F23">
              <w:rPr>
                <w:rFonts w:ascii="Times New Roman" w:eastAsia="Times New Roman" w:hAnsi="Times New Roman" w:cs="Times New Roman"/>
                <w:sz w:val="24"/>
                <w:szCs w:val="24"/>
                <w:lang w:eastAsia="fr-BE"/>
              </w:rPr>
              <w:t xml:space="preserve">Jusques </w:t>
            </w:r>
            <w:r>
              <w:rPr>
                <w:sz w:val="24"/>
                <w:szCs w:val="24"/>
                <w:lang w:val="fr-FR"/>
              </w:rPr>
              <w:t>à qu</w:t>
            </w:r>
            <w:r w:rsidRPr="008F6F23">
              <w:rPr>
                <w:sz w:val="24"/>
                <w:szCs w:val="24"/>
                <w:lang w:val="fr-FR"/>
              </w:rPr>
              <w:t>and souffrirez-vous que le royalisme, l'ambition, l'é</w:t>
            </w:r>
            <w:r>
              <w:rPr>
                <w:sz w:val="24"/>
                <w:szCs w:val="24"/>
                <w:lang w:val="fr-FR"/>
              </w:rPr>
              <w:t>goïsme, l'intrigue et l'avarice, coalisés avec le fanatisme</w:t>
            </w:r>
            <w:r w:rsidRPr="008F6F23">
              <w:rPr>
                <w:sz w:val="24"/>
                <w:szCs w:val="24"/>
                <w:lang w:val="fr-FR"/>
              </w:rPr>
              <w:t>, livren</w:t>
            </w:r>
            <w:r>
              <w:rPr>
                <w:sz w:val="24"/>
                <w:szCs w:val="24"/>
                <w:lang w:val="fr-FR"/>
              </w:rPr>
              <w:t xml:space="preserve">t à la tyrannie nos frontières </w:t>
            </w:r>
            <w:r w:rsidRPr="008F6F23">
              <w:rPr>
                <w:sz w:val="24"/>
                <w:szCs w:val="24"/>
                <w:lang w:val="fr-FR"/>
              </w:rPr>
              <w:t xml:space="preserve">et portent </w:t>
            </w:r>
            <w:proofErr w:type="spellStart"/>
            <w:r w:rsidRPr="008F6F23">
              <w:rPr>
                <w:sz w:val="24"/>
                <w:szCs w:val="24"/>
                <w:lang w:val="fr-FR"/>
              </w:rPr>
              <w:t>par-tout</w:t>
            </w:r>
            <w:proofErr w:type="spellEnd"/>
            <w:r w:rsidRPr="008F6F23">
              <w:rPr>
                <w:sz w:val="24"/>
                <w:szCs w:val="24"/>
                <w:lang w:val="fr-FR"/>
              </w:rPr>
              <w:t xml:space="preserve"> la dévastation et la mort ? </w:t>
            </w:r>
            <w:r>
              <w:rPr>
                <w:sz w:val="24"/>
                <w:szCs w:val="24"/>
                <w:lang w:val="fr-FR"/>
              </w:rPr>
              <w:t>Hâtez-vous, le temps presse.</w:t>
            </w:r>
          </w:p>
          <w:p w14:paraId="60DF1808" w14:textId="77777777" w:rsidR="00517823" w:rsidRPr="004B5ECA" w:rsidRDefault="00517823" w:rsidP="00116723">
            <w:pPr>
              <w:pStyle w:val="Paragraphedeliste"/>
              <w:jc w:val="both"/>
              <w:rPr>
                <w:sz w:val="24"/>
                <w:szCs w:val="24"/>
                <w:lang w:val="fr-FR"/>
              </w:rPr>
            </w:pPr>
            <w:r>
              <w:rPr>
                <w:sz w:val="24"/>
                <w:szCs w:val="24"/>
                <w:lang w:val="fr-FR"/>
              </w:rPr>
              <w:t>L</w:t>
            </w:r>
            <w:r w:rsidRPr="00AA55E6">
              <w:rPr>
                <w:sz w:val="24"/>
                <w:szCs w:val="24"/>
                <w:lang w:val="fr-FR"/>
              </w:rPr>
              <w:t xml:space="preserve">'assemblée générale de la section des Sans-culottes, considérant qu'il est du devoir de tous les citoyens de proposer les mesures qui </w:t>
            </w:r>
            <w:r>
              <w:rPr>
                <w:sz w:val="24"/>
                <w:szCs w:val="24"/>
                <w:lang w:val="fr-FR"/>
              </w:rPr>
              <w:t>leur semblent</w:t>
            </w:r>
            <w:r w:rsidRPr="00AA55E6">
              <w:rPr>
                <w:sz w:val="24"/>
                <w:szCs w:val="24"/>
                <w:lang w:val="fr-FR"/>
              </w:rPr>
              <w:t xml:space="preserve"> les plus propres à faire r</w:t>
            </w:r>
            <w:r>
              <w:rPr>
                <w:sz w:val="24"/>
                <w:szCs w:val="24"/>
                <w:lang w:val="fr-FR"/>
              </w:rPr>
              <w:t>enaître l'abondance et la tranq</w:t>
            </w:r>
            <w:r w:rsidRPr="00AA55E6">
              <w:rPr>
                <w:sz w:val="24"/>
                <w:szCs w:val="24"/>
                <w:lang w:val="fr-FR"/>
              </w:rPr>
              <w:t>uillité publique, arrête de demander à la convention qu'elle décrète : 1°. Que les ci-devant nobles ne puissent exercer</w:t>
            </w:r>
            <w:r>
              <w:rPr>
                <w:sz w:val="24"/>
                <w:szCs w:val="24"/>
                <w:lang w:val="fr-FR"/>
              </w:rPr>
              <w:t xml:space="preserve"> aucunes fonctions militaires</w:t>
            </w:r>
            <w:r w:rsidRPr="00AA55E6">
              <w:rPr>
                <w:sz w:val="24"/>
                <w:szCs w:val="24"/>
                <w:lang w:val="fr-FR"/>
              </w:rPr>
              <w:t xml:space="preserve">, ni </w:t>
            </w:r>
            <w:r>
              <w:rPr>
                <w:sz w:val="24"/>
                <w:szCs w:val="24"/>
                <w:lang w:val="fr-FR"/>
              </w:rPr>
              <w:t>posséder aucuns emplois publics</w:t>
            </w:r>
            <w:r w:rsidRPr="00AA55E6">
              <w:rPr>
                <w:sz w:val="24"/>
                <w:szCs w:val="24"/>
                <w:lang w:val="fr-FR"/>
              </w:rPr>
              <w:t>, de quelque nature qu'ils soient ; 2°. Que toutes les denrées de première nécessite soient fixées invariablement sur celui d</w:t>
            </w:r>
            <w:r>
              <w:rPr>
                <w:sz w:val="24"/>
                <w:szCs w:val="24"/>
                <w:lang w:val="fr-FR"/>
              </w:rPr>
              <w:t>es années dites années communes</w:t>
            </w:r>
            <w:r w:rsidRPr="00AA55E6">
              <w:rPr>
                <w:sz w:val="24"/>
                <w:szCs w:val="24"/>
                <w:lang w:val="fr-FR"/>
              </w:rPr>
              <w:t>, depuis 1789 jusques et y compris l'année 90, proportionnellement à leurs qualités différentes. Que les matières premières seront aussi fixées de manière que les profits de l'industrie, les salaires du travail et les bénéfices du commerc</w:t>
            </w:r>
            <w:r>
              <w:rPr>
                <w:sz w:val="24"/>
                <w:szCs w:val="24"/>
                <w:lang w:val="fr-FR"/>
              </w:rPr>
              <w:t>e qui seront modérés par la loi</w:t>
            </w:r>
            <w:r w:rsidRPr="00AA55E6">
              <w:rPr>
                <w:sz w:val="24"/>
                <w:szCs w:val="24"/>
                <w:lang w:val="fr-FR"/>
              </w:rPr>
              <w:t>, puissent mettre l'homme industrieux, le cultivateur, le commerçant, à portée de se procurer, non-seulement les choses nécessaires, indispensables à la conservation de leur existence, mais encore tout ce qui peut ajouter à leur jouissance ; Que tous les cultivateurs qui n'</w:t>
            </w:r>
            <w:proofErr w:type="spellStart"/>
            <w:r w:rsidRPr="00AA55E6">
              <w:rPr>
                <w:sz w:val="24"/>
                <w:szCs w:val="24"/>
                <w:lang w:val="fr-FR"/>
              </w:rPr>
              <w:t>auroient</w:t>
            </w:r>
            <w:proofErr w:type="spellEnd"/>
            <w:r w:rsidRPr="00AA55E6">
              <w:rPr>
                <w:sz w:val="24"/>
                <w:szCs w:val="24"/>
                <w:lang w:val="fr-FR"/>
              </w:rPr>
              <w:t xml:space="preserve"> point récolté , par quelque accident , soient in</w:t>
            </w:r>
            <w:r>
              <w:rPr>
                <w:sz w:val="24"/>
                <w:szCs w:val="24"/>
                <w:lang w:val="fr-FR"/>
              </w:rPr>
              <w:t>demnisés par le trésor public »</w:t>
            </w:r>
          </w:p>
        </w:tc>
      </w:tr>
      <w:tr w:rsidR="00517823" w:rsidRPr="00F00262" w14:paraId="771D772A" w14:textId="77777777" w:rsidTr="00116723">
        <w:tc>
          <w:tcPr>
            <w:tcW w:w="10456" w:type="dxa"/>
          </w:tcPr>
          <w:p w14:paraId="3520B4B1" w14:textId="77777777" w:rsidR="00517823" w:rsidRDefault="00517823" w:rsidP="00116723">
            <w:pPr>
              <w:tabs>
                <w:tab w:val="left" w:pos="3465"/>
              </w:tabs>
              <w:jc w:val="both"/>
              <w:rPr>
                <w:b/>
                <w:noProof/>
                <w:sz w:val="24"/>
                <w:szCs w:val="24"/>
                <w:u w:val="single"/>
                <w:lang w:eastAsia="fr-BE"/>
              </w:rPr>
            </w:pPr>
            <w:r w:rsidRPr="00081121">
              <w:rPr>
                <w:b/>
                <w:noProof/>
                <w:sz w:val="24"/>
                <w:szCs w:val="24"/>
                <w:u w:val="single"/>
                <w:lang w:eastAsia="fr-BE"/>
              </w:rPr>
              <w:t>Doc. n</w:t>
            </w:r>
            <w:r>
              <w:rPr>
                <w:b/>
                <w:noProof/>
                <w:sz w:val="24"/>
                <w:szCs w:val="24"/>
                <w:u w:val="single"/>
                <w:lang w:eastAsia="fr-BE"/>
              </w:rPr>
              <w:t>°6</w:t>
            </w:r>
            <w:r w:rsidRPr="00081121">
              <w:rPr>
                <w:b/>
                <w:noProof/>
                <w:sz w:val="24"/>
                <w:szCs w:val="24"/>
                <w:u w:val="single"/>
                <w:lang w:eastAsia="fr-BE"/>
              </w:rPr>
              <w:t xml:space="preserve"> </w:t>
            </w:r>
            <w:r>
              <w:rPr>
                <w:b/>
                <w:noProof/>
                <w:sz w:val="24"/>
                <w:szCs w:val="24"/>
                <w:u w:val="single"/>
                <w:lang w:eastAsia="fr-BE"/>
              </w:rPr>
              <w:t>– François Furet et Mona Ozouf, « Acteurs », Flammarion 2007</w:t>
            </w:r>
          </w:p>
          <w:p w14:paraId="42C0BCF2" w14:textId="77777777" w:rsidR="00517823" w:rsidRPr="00081121" w:rsidRDefault="00517823" w:rsidP="00116723">
            <w:pPr>
              <w:pStyle w:val="Paragraphedeliste"/>
              <w:jc w:val="both"/>
              <w:rPr>
                <w:b/>
                <w:noProof/>
                <w:sz w:val="24"/>
                <w:szCs w:val="24"/>
                <w:u w:val="single"/>
                <w:lang w:eastAsia="fr-BE"/>
              </w:rPr>
            </w:pPr>
            <w:r w:rsidRPr="00D43563">
              <w:rPr>
                <w:sz w:val="24"/>
                <w:szCs w:val="24"/>
                <w:lang w:val="fr-FR"/>
              </w:rPr>
              <w:t xml:space="preserve">« Le sans-culotte comprend mal la </w:t>
            </w:r>
            <w:r>
              <w:rPr>
                <w:sz w:val="24"/>
                <w:szCs w:val="24"/>
                <w:lang w:val="fr-FR"/>
              </w:rPr>
              <w:t xml:space="preserve">délégation de pouvoir. Son </w:t>
            </w:r>
            <w:proofErr w:type="spellStart"/>
            <w:r>
              <w:rPr>
                <w:sz w:val="24"/>
                <w:szCs w:val="24"/>
                <w:lang w:val="fr-FR"/>
              </w:rPr>
              <w:t>ins</w:t>
            </w:r>
            <w:r w:rsidRPr="00D43563">
              <w:rPr>
                <w:sz w:val="24"/>
                <w:szCs w:val="24"/>
                <w:lang w:val="fr-FR"/>
              </w:rPr>
              <w:t>tinc</w:t>
            </w:r>
            <w:proofErr w:type="spellEnd"/>
            <w:r w:rsidRPr="00D43563">
              <w:rPr>
                <w:sz w:val="24"/>
                <w:szCs w:val="24"/>
                <w:lang w:val="fr-FR"/>
              </w:rPr>
              <w:t xml:space="preserve"> le porte à l’action directe et violente. La pique est le symbole du </w:t>
            </w:r>
            <w:proofErr w:type="spellStart"/>
            <w:r w:rsidRPr="00D43563">
              <w:rPr>
                <w:sz w:val="24"/>
                <w:szCs w:val="24"/>
                <w:lang w:val="fr-FR"/>
              </w:rPr>
              <w:t>miltant</w:t>
            </w:r>
            <w:proofErr w:type="spellEnd"/>
            <w:r w:rsidRPr="00D43563">
              <w:rPr>
                <w:sz w:val="24"/>
                <w:szCs w:val="24"/>
                <w:lang w:val="fr-FR"/>
              </w:rPr>
              <w:t xml:space="preserve"> en marche. Les canons des sections sont le signe féti</w:t>
            </w:r>
            <w:r>
              <w:rPr>
                <w:sz w:val="24"/>
                <w:szCs w:val="24"/>
                <w:lang w:val="fr-FR"/>
              </w:rPr>
              <w:t>chiste de leur souveraineté. « Y</w:t>
            </w:r>
            <w:r w:rsidRPr="00D43563">
              <w:rPr>
                <w:sz w:val="24"/>
                <w:szCs w:val="24"/>
                <w:lang w:val="fr-FR"/>
              </w:rPr>
              <w:t xml:space="preserve"> a-t-il guillotine aujourd’hui ? Oui, lui répliqua un franc patriote,</w:t>
            </w:r>
            <w:r>
              <w:rPr>
                <w:sz w:val="24"/>
                <w:szCs w:val="24"/>
                <w:lang w:val="fr-FR"/>
              </w:rPr>
              <w:t xml:space="preserve"> car il </w:t>
            </w:r>
            <w:proofErr w:type="spellStart"/>
            <w:r>
              <w:rPr>
                <w:sz w:val="24"/>
                <w:szCs w:val="24"/>
                <w:lang w:val="fr-FR"/>
              </w:rPr>
              <w:t>ya</w:t>
            </w:r>
            <w:proofErr w:type="spellEnd"/>
            <w:r>
              <w:rPr>
                <w:sz w:val="24"/>
                <w:szCs w:val="24"/>
                <w:lang w:val="fr-FR"/>
              </w:rPr>
              <w:t xml:space="preserve"> toujours trahison. </w:t>
            </w:r>
            <w:r w:rsidRPr="00D43563">
              <w:rPr>
                <w:sz w:val="24"/>
                <w:szCs w:val="24"/>
                <w:lang w:val="fr-FR"/>
              </w:rPr>
              <w:t>Le menuisier Richer exprime pour sa part l’opinio</w:t>
            </w:r>
            <w:r>
              <w:rPr>
                <w:sz w:val="24"/>
                <w:szCs w:val="24"/>
                <w:lang w:val="fr-FR"/>
              </w:rPr>
              <w:t xml:space="preserve">n assez </w:t>
            </w:r>
            <w:proofErr w:type="spellStart"/>
            <w:r>
              <w:rPr>
                <w:sz w:val="24"/>
                <w:szCs w:val="24"/>
                <w:lang w:val="fr-FR"/>
              </w:rPr>
              <w:t>communèment</w:t>
            </w:r>
            <w:proofErr w:type="spellEnd"/>
            <w:r>
              <w:rPr>
                <w:sz w:val="24"/>
                <w:szCs w:val="24"/>
                <w:lang w:val="fr-FR"/>
              </w:rPr>
              <w:t xml:space="preserve"> </w:t>
            </w:r>
            <w:proofErr w:type="spellStart"/>
            <w:r>
              <w:rPr>
                <w:sz w:val="24"/>
                <w:szCs w:val="24"/>
                <w:lang w:val="fr-FR"/>
              </w:rPr>
              <w:t>partagèe</w:t>
            </w:r>
            <w:proofErr w:type="spellEnd"/>
            <w:r>
              <w:rPr>
                <w:sz w:val="24"/>
                <w:szCs w:val="24"/>
                <w:lang w:val="fr-FR"/>
              </w:rPr>
              <w:t xml:space="preserve"> « </w:t>
            </w:r>
            <w:r w:rsidRPr="00D43563">
              <w:rPr>
                <w:sz w:val="24"/>
                <w:szCs w:val="24"/>
                <w:lang w:val="fr-FR"/>
              </w:rPr>
              <w:t>que nous n’aurions du pain qu’en versant du sang. »</w:t>
            </w:r>
            <w:r>
              <w:rPr>
                <w:b/>
                <w:noProof/>
                <w:sz w:val="24"/>
                <w:szCs w:val="24"/>
                <w:u w:val="single"/>
                <w:lang w:eastAsia="fr-BE"/>
              </w:rPr>
              <w:t xml:space="preserve"> </w:t>
            </w:r>
          </w:p>
        </w:tc>
      </w:tr>
      <w:tr w:rsidR="00517823" w:rsidRPr="00F00262" w14:paraId="76414D34" w14:textId="77777777" w:rsidTr="00116723">
        <w:tc>
          <w:tcPr>
            <w:tcW w:w="10456" w:type="dxa"/>
          </w:tcPr>
          <w:p w14:paraId="40716BA3" w14:textId="77777777" w:rsidR="00517823" w:rsidRDefault="00517823" w:rsidP="00116723">
            <w:pPr>
              <w:tabs>
                <w:tab w:val="left" w:pos="3465"/>
              </w:tabs>
              <w:jc w:val="both"/>
              <w:rPr>
                <w:b/>
                <w:noProof/>
                <w:sz w:val="24"/>
                <w:szCs w:val="24"/>
                <w:u w:val="single"/>
                <w:lang w:eastAsia="fr-BE"/>
              </w:rPr>
            </w:pPr>
            <w:r w:rsidRPr="00081121">
              <w:rPr>
                <w:b/>
                <w:noProof/>
                <w:sz w:val="24"/>
                <w:szCs w:val="24"/>
                <w:u w:val="single"/>
                <w:lang w:eastAsia="fr-BE"/>
              </w:rPr>
              <w:t>Doc. n</w:t>
            </w:r>
            <w:r>
              <w:rPr>
                <w:b/>
                <w:noProof/>
                <w:sz w:val="24"/>
                <w:szCs w:val="24"/>
                <w:u w:val="single"/>
                <w:lang w:eastAsia="fr-BE"/>
              </w:rPr>
              <w:t xml:space="preserve">°7 – Jean-Clément Martin, « La Révolution », La documentation française, 2006 </w:t>
            </w:r>
          </w:p>
          <w:p w14:paraId="5A3B1CE9" w14:textId="77777777" w:rsidR="00517823" w:rsidRDefault="00517823" w:rsidP="00116723">
            <w:pPr>
              <w:pStyle w:val="Paragraphedeliste"/>
              <w:jc w:val="both"/>
              <w:rPr>
                <w:sz w:val="24"/>
                <w:szCs w:val="24"/>
                <w:lang w:val="fr-FR"/>
              </w:rPr>
            </w:pPr>
            <w:r w:rsidRPr="00A44579">
              <w:rPr>
                <w:sz w:val="24"/>
                <w:szCs w:val="24"/>
                <w:lang w:val="fr-FR"/>
              </w:rPr>
              <w:t>« </w:t>
            </w:r>
            <w:r>
              <w:rPr>
                <w:sz w:val="24"/>
                <w:szCs w:val="24"/>
                <w:lang w:val="fr-FR"/>
              </w:rPr>
              <w:t>En septembre la me</w:t>
            </w:r>
            <w:r w:rsidRPr="00A44579">
              <w:rPr>
                <w:sz w:val="24"/>
                <w:szCs w:val="24"/>
                <w:lang w:val="fr-FR"/>
              </w:rPr>
              <w:t>nace directe provoquée par l’avancée des troupes ennemies et la peur des mesures de répression annoncées par les émigrés déclenchent une réaction violente à l’encontre des prisonniers détenus à Paris. Mouvement archa</w:t>
            </w:r>
            <w:r>
              <w:rPr>
                <w:sz w:val="24"/>
                <w:szCs w:val="24"/>
                <w:lang w:val="fr-FR"/>
              </w:rPr>
              <w:t>ïque</w:t>
            </w:r>
            <w:r w:rsidRPr="00A44579">
              <w:rPr>
                <w:sz w:val="24"/>
                <w:szCs w:val="24"/>
                <w:lang w:val="fr-FR"/>
              </w:rPr>
              <w:t>, au sens où il renvoie aux pratiques</w:t>
            </w:r>
            <w:r>
              <w:rPr>
                <w:sz w:val="24"/>
                <w:szCs w:val="24"/>
                <w:lang w:val="fr-FR"/>
              </w:rPr>
              <w:t xml:space="preserve"> des guerres de religion mais aussi au mouvement voulant  exprimer une justice populaire qui estime nécessaire de se substituer à une justice d’Etat </w:t>
            </w:r>
            <w:proofErr w:type="spellStart"/>
            <w:r>
              <w:rPr>
                <w:sz w:val="24"/>
                <w:szCs w:val="24"/>
                <w:lang w:val="fr-FR"/>
              </w:rPr>
              <w:t>incoapble</w:t>
            </w:r>
            <w:proofErr w:type="spellEnd"/>
            <w:r>
              <w:rPr>
                <w:sz w:val="24"/>
                <w:szCs w:val="24"/>
                <w:lang w:val="fr-FR"/>
              </w:rPr>
              <w:t>, les exécutions sont pratiquées par des groupes de sans-culottes laissés libres de leurs actes par des députés dépassés par les évènements. »</w:t>
            </w:r>
          </w:p>
          <w:p w14:paraId="28D1088A" w14:textId="77777777" w:rsidR="00517823" w:rsidRPr="00081121" w:rsidRDefault="00517823" w:rsidP="00116723">
            <w:pPr>
              <w:pStyle w:val="Paragraphedeliste"/>
              <w:jc w:val="both"/>
              <w:rPr>
                <w:b/>
                <w:noProof/>
                <w:sz w:val="24"/>
                <w:szCs w:val="24"/>
                <w:u w:val="single"/>
                <w:lang w:eastAsia="fr-BE"/>
              </w:rPr>
            </w:pPr>
            <w:r>
              <w:rPr>
                <w:sz w:val="24"/>
                <w:szCs w:val="24"/>
                <w:lang w:val="fr-FR"/>
              </w:rPr>
              <w:t xml:space="preserve">« A Paris, du 2 au 6 septembre 1792, les prisons sont investies par des sans-culottes qui massacrent 1 200 détenus soit près de la moitié de la population incarcérée. Ni l’âge ni le sexe ne sont des protections contre la fureur massacrante. Sont massacrés des aristocrates, des ecclésiastiques en grand nombre plus de 300 et pêle-mêle des prisonniers de droits commun. » </w:t>
            </w:r>
          </w:p>
        </w:tc>
      </w:tr>
    </w:tbl>
    <w:p w14:paraId="423BB123" w14:textId="77777777" w:rsidR="00517823" w:rsidRDefault="00517823" w:rsidP="00517823"/>
    <w:p w14:paraId="07075F44" w14:textId="77777777" w:rsidR="001407B3" w:rsidRDefault="001407B3"/>
    <w:sectPr w:rsidR="001407B3" w:rsidSect="0051782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A8E2" w14:textId="77777777" w:rsidR="003673E3" w:rsidRDefault="003673E3" w:rsidP="00D21B72">
      <w:pPr>
        <w:spacing w:after="0" w:line="240" w:lineRule="auto"/>
      </w:pPr>
      <w:r>
        <w:separator/>
      </w:r>
    </w:p>
  </w:endnote>
  <w:endnote w:type="continuationSeparator" w:id="0">
    <w:p w14:paraId="4FE8A72C" w14:textId="77777777" w:rsidR="003673E3" w:rsidRDefault="003673E3" w:rsidP="00D2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9598" w14:textId="77777777" w:rsidR="00D21B72" w:rsidRDefault="00D21B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0C90" w14:textId="77777777" w:rsidR="00D21B72" w:rsidRDefault="00D21B7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623B" w14:textId="77777777" w:rsidR="00D21B72" w:rsidRDefault="00D21B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1C825" w14:textId="77777777" w:rsidR="003673E3" w:rsidRDefault="003673E3" w:rsidP="00D21B72">
      <w:pPr>
        <w:spacing w:after="0" w:line="240" w:lineRule="auto"/>
      </w:pPr>
      <w:r>
        <w:separator/>
      </w:r>
    </w:p>
  </w:footnote>
  <w:footnote w:type="continuationSeparator" w:id="0">
    <w:p w14:paraId="3B1136B6" w14:textId="77777777" w:rsidR="003673E3" w:rsidRDefault="003673E3" w:rsidP="00D21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5781" w14:textId="60DD5C8F" w:rsidR="00D21B72" w:rsidRDefault="003673E3">
    <w:pPr>
      <w:pStyle w:val="En-tte"/>
    </w:pPr>
    <w:r>
      <w:rPr>
        <w:noProof/>
      </w:rPr>
      <w:pict w14:anchorId="10A339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46172" o:spid="_x0000_s2050" type="#_x0000_t136" style="position:absolute;margin-left:0;margin-top:0;width:621.2pt;height:116.45pt;rotation:315;z-index:-251655168;mso-position-horizontal:center;mso-position-horizontal-relative:margin;mso-position-vertical:center;mso-position-vertical-relative:margin" o:allowincell="f" fillcolor="#002060" stroked="f">
          <v:fill opacity=".5"/>
          <v:textpath style="font-family:&quot;Calibri&quot;;font-size:1pt" string="Dossier I. Meiding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C9DC" w14:textId="2C083C38" w:rsidR="00D21B72" w:rsidRDefault="003673E3">
    <w:pPr>
      <w:pStyle w:val="En-tte"/>
    </w:pPr>
    <w:r>
      <w:rPr>
        <w:noProof/>
      </w:rPr>
      <w:pict w14:anchorId="4278B6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46173" o:spid="_x0000_s2051" type="#_x0000_t136" style="position:absolute;margin-left:0;margin-top:0;width:622.15pt;height:116.45pt;rotation:315;z-index:-251653120;mso-position-horizontal:center;mso-position-horizontal-relative:margin;mso-position-vertical:center;mso-position-vertical-relative:margin" o:allowincell="f" fillcolor="#002060" stroked="f">
          <v:fill opacity=".5"/>
          <v:textpath style="font-family:&quot;Calibri&quot;;font-size:1pt" string="Dossier I. Meiding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374B" w14:textId="522A89DB" w:rsidR="00D21B72" w:rsidRDefault="003673E3">
    <w:pPr>
      <w:pStyle w:val="En-tte"/>
    </w:pPr>
    <w:r>
      <w:rPr>
        <w:noProof/>
      </w:rPr>
      <w:pict w14:anchorId="5E573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46171" o:spid="_x0000_s2049" type="#_x0000_t136" style="position:absolute;margin-left:0;margin-top:0;width:621.2pt;height:116.45pt;rotation:315;z-index:-251657216;mso-position-horizontal:center;mso-position-horizontal-relative:margin;mso-position-vertical:center;mso-position-vertical-relative:margin" o:allowincell="f" fillcolor="#002060" stroked="f">
          <v:fill opacity=".5"/>
          <v:textpath style="font-family:&quot;Calibri&quot;;font-size:1pt" string="Dossier I. Meiding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54E67"/>
    <w:multiLevelType w:val="hybridMultilevel"/>
    <w:tmpl w:val="04C2D6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823"/>
    <w:rsid w:val="001407B3"/>
    <w:rsid w:val="002C7E2C"/>
    <w:rsid w:val="003010F3"/>
    <w:rsid w:val="003673E3"/>
    <w:rsid w:val="00517823"/>
    <w:rsid w:val="00602A09"/>
    <w:rsid w:val="0080232E"/>
    <w:rsid w:val="009C3D32"/>
    <w:rsid w:val="00C52B3A"/>
    <w:rsid w:val="00D21B72"/>
    <w:rsid w:val="00D93AF3"/>
    <w:rsid w:val="00DC38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33AEA1"/>
  <w15:chartTrackingRefBased/>
  <w15:docId w15:val="{9428B54B-A33C-4326-ADC6-367F5453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8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7823"/>
    <w:pPr>
      <w:ind w:left="720"/>
      <w:contextualSpacing/>
    </w:pPr>
  </w:style>
  <w:style w:type="table" w:styleId="Grilledutableau">
    <w:name w:val="Table Grid"/>
    <w:basedOn w:val="TableauNormal"/>
    <w:uiPriority w:val="39"/>
    <w:rsid w:val="00517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21B72"/>
    <w:pPr>
      <w:tabs>
        <w:tab w:val="center" w:pos="4536"/>
        <w:tab w:val="right" w:pos="9072"/>
      </w:tabs>
      <w:spacing w:after="0" w:line="240" w:lineRule="auto"/>
    </w:pPr>
  </w:style>
  <w:style w:type="character" w:customStyle="1" w:styleId="En-tteCar">
    <w:name w:val="En-tête Car"/>
    <w:basedOn w:val="Policepardfaut"/>
    <w:link w:val="En-tte"/>
    <w:uiPriority w:val="99"/>
    <w:rsid w:val="00D21B72"/>
  </w:style>
  <w:style w:type="paragraph" w:styleId="Pieddepage">
    <w:name w:val="footer"/>
    <w:basedOn w:val="Normal"/>
    <w:link w:val="PieddepageCar"/>
    <w:uiPriority w:val="99"/>
    <w:unhideWhenUsed/>
    <w:rsid w:val="00D21B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1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E03DE-1216-4838-AC11-D0CF5E51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784</Words>
  <Characters>4313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GRAVIER</dc:creator>
  <cp:keywords/>
  <dc:description/>
  <cp:lastModifiedBy>Isabelle MEIDINGER</cp:lastModifiedBy>
  <cp:revision>5</cp:revision>
  <cp:lastPrinted>2020-06-26T07:32:00Z</cp:lastPrinted>
  <dcterms:created xsi:type="dcterms:W3CDTF">2019-08-06T06:31:00Z</dcterms:created>
  <dcterms:modified xsi:type="dcterms:W3CDTF">2021-07-15T16:33:00Z</dcterms:modified>
</cp:coreProperties>
</file>